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9BC2" w14:textId="77777777" w:rsidR="00656121" w:rsidRPr="00656121" w:rsidRDefault="00656121" w:rsidP="00656121">
      <w:r w:rsidRPr="00656121">
        <w:t>Методологический аппарат клинической микробиологии в диагностике паразитарных инвазий</w:t>
      </w:r>
    </w:p>
    <w:p w14:paraId="386F46A1" w14:textId="77777777" w:rsidR="00656121" w:rsidRPr="00656121" w:rsidRDefault="00656121" w:rsidP="00656121">
      <w:r w:rsidRPr="00656121">
        <w:rPr>
          <w:b/>
          <w:bCs/>
        </w:rPr>
        <w:t>Учебный доклад для обучающихся по специальностям: 31.05.01 — Лечебное дело, 31.05.02 — Педиатрия.</w:t>
      </w:r>
      <w:r w:rsidRPr="00656121">
        <w:t> </w:t>
      </w:r>
      <w:r w:rsidRPr="00656121">
        <w:rPr>
          <w:b/>
          <w:bCs/>
        </w:rPr>
        <w:t>Разработчик:</w:t>
      </w:r>
      <w:r w:rsidRPr="00656121">
        <w:t> Старший преподаватель кафедры микробиологии и вирусологии ФГБОУ ВО БГМУ Минздрава России.</w:t>
      </w:r>
    </w:p>
    <w:p w14:paraId="1FF57092" w14:textId="77777777" w:rsidR="00656121" w:rsidRPr="00656121" w:rsidRDefault="00656121" w:rsidP="00656121">
      <w:r w:rsidRPr="00656121">
        <w:pict w14:anchorId="6207279D">
          <v:rect id="_x0000_i1031" style="width:0;height:1.5pt" o:hralign="center" o:hrstd="t" o:hr="t" fillcolor="#a0a0a0" stroked="f"/>
        </w:pict>
      </w:r>
    </w:p>
    <w:p w14:paraId="25EC61F7" w14:textId="77777777" w:rsidR="00656121" w:rsidRPr="00656121" w:rsidRDefault="00656121" w:rsidP="00656121">
      <w:r w:rsidRPr="00656121">
        <w:t>Слайд 1. Титульный</w:t>
      </w:r>
    </w:p>
    <w:p w14:paraId="7876FACC" w14:textId="77777777" w:rsidR="00656121" w:rsidRPr="00656121" w:rsidRDefault="00656121" w:rsidP="00656121">
      <w:pPr>
        <w:numPr>
          <w:ilvl w:val="0"/>
          <w:numId w:val="1"/>
        </w:numPr>
      </w:pPr>
      <w:r w:rsidRPr="00656121">
        <w:rPr>
          <w:b/>
          <w:bCs/>
        </w:rPr>
        <w:t>Организация:</w:t>
      </w:r>
      <w:r w:rsidRPr="00656121">
        <w:t> 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Федерации.</w:t>
      </w:r>
    </w:p>
    <w:p w14:paraId="07805B8D" w14:textId="77777777" w:rsidR="00656121" w:rsidRPr="00656121" w:rsidRDefault="00656121" w:rsidP="00656121">
      <w:pPr>
        <w:numPr>
          <w:ilvl w:val="0"/>
          <w:numId w:val="1"/>
        </w:numPr>
      </w:pPr>
      <w:r w:rsidRPr="00656121">
        <w:rPr>
          <w:b/>
          <w:bCs/>
        </w:rPr>
        <w:t>Кафедра:</w:t>
      </w:r>
      <w:r w:rsidRPr="00656121">
        <w:t> Микробиологии и вирусологии.</w:t>
      </w:r>
    </w:p>
    <w:p w14:paraId="6244D203" w14:textId="77777777" w:rsidR="00656121" w:rsidRPr="00656121" w:rsidRDefault="00656121" w:rsidP="00656121">
      <w:pPr>
        <w:numPr>
          <w:ilvl w:val="0"/>
          <w:numId w:val="1"/>
        </w:numPr>
      </w:pPr>
      <w:r w:rsidRPr="00656121">
        <w:rPr>
          <w:b/>
          <w:bCs/>
        </w:rPr>
        <w:t>Тема доклада:</w:t>
      </w:r>
      <w:r w:rsidRPr="00656121">
        <w:t> Паразитология с точки зрения клинической микробиологии.</w:t>
      </w:r>
    </w:p>
    <w:p w14:paraId="0539BA39" w14:textId="77777777" w:rsidR="00656121" w:rsidRPr="00656121" w:rsidRDefault="00656121" w:rsidP="00656121">
      <w:pPr>
        <w:numPr>
          <w:ilvl w:val="0"/>
          <w:numId w:val="1"/>
        </w:numPr>
      </w:pPr>
      <w:r w:rsidRPr="00656121">
        <w:rPr>
          <w:b/>
          <w:bCs/>
        </w:rPr>
        <w:t>Место и год:</w:t>
      </w:r>
      <w:r w:rsidRPr="00656121">
        <w:t> Уфа, 2018.</w:t>
      </w:r>
    </w:p>
    <w:p w14:paraId="12A9DD39" w14:textId="77777777" w:rsidR="00656121" w:rsidRPr="00656121" w:rsidRDefault="00656121" w:rsidP="00656121">
      <w:r w:rsidRPr="00656121">
        <w:t>Слайд 2. Методологический аппарат дисциплины и ее место в клинике</w:t>
      </w:r>
    </w:p>
    <w:p w14:paraId="1998963F" w14:textId="77777777" w:rsidR="00656121" w:rsidRPr="00656121" w:rsidRDefault="00656121" w:rsidP="00656121">
      <w:pPr>
        <w:numPr>
          <w:ilvl w:val="0"/>
          <w:numId w:val="2"/>
        </w:numPr>
      </w:pPr>
      <w:r w:rsidRPr="00656121">
        <w:rPr>
          <w:b/>
          <w:bCs/>
        </w:rPr>
        <w:t>Теоретический базис:</w:t>
      </w:r>
      <w:r w:rsidRPr="00656121">
        <w:t> Микробиология и паразитология находятся на стыке фундаментальных дисциплин, формируя базу для клинического мышления.</w:t>
      </w:r>
    </w:p>
    <w:p w14:paraId="0DC8ADC1" w14:textId="77777777" w:rsidR="00656121" w:rsidRPr="00656121" w:rsidRDefault="00656121" w:rsidP="00656121">
      <w:pPr>
        <w:numPr>
          <w:ilvl w:val="0"/>
          <w:numId w:val="2"/>
        </w:numPr>
      </w:pPr>
      <w:r w:rsidRPr="00656121">
        <w:rPr>
          <w:b/>
          <w:bCs/>
        </w:rPr>
        <w:t>Образовательные компетенции:</w:t>
      </w:r>
      <w:r w:rsidRPr="00656121">
        <w:t> Освоение методов идентификации возбудителей направлено на формирование готовности к самообразованию (ОК-1), использованию медико-биологической терминологии (ОПК-1) и способности выявлять патологические симптомы инвазий (ПК-6).</w:t>
      </w:r>
    </w:p>
    <w:p w14:paraId="66BE87CC" w14:textId="77777777" w:rsidR="00656121" w:rsidRPr="00656121" w:rsidRDefault="00656121" w:rsidP="00656121">
      <w:pPr>
        <w:numPr>
          <w:ilvl w:val="0"/>
          <w:numId w:val="2"/>
        </w:numPr>
      </w:pPr>
      <w:r w:rsidRPr="00656121">
        <w:rPr>
          <w:b/>
          <w:bCs/>
        </w:rPr>
        <w:t>Клиническая значимость:</w:t>
      </w:r>
      <w:r w:rsidRPr="00656121">
        <w:t> Врачу необходимы навыки интерпретации результатов для подтверждения диагноза и назначения этиотропного лечения. Цель микробиологического подхода в паразитологии — переход от симптоматического подозрения к детерминированной верификации патогена.</w:t>
      </w:r>
    </w:p>
    <w:p w14:paraId="366C9046" w14:textId="77777777" w:rsidR="00656121" w:rsidRPr="00656121" w:rsidRDefault="00656121" w:rsidP="00656121">
      <w:r w:rsidRPr="00656121">
        <w:t>Слайд 3. Классификация паразитов по степени биологической опасности (РФ)</w:t>
      </w:r>
    </w:p>
    <w:p w14:paraId="7DE7AE3C" w14:textId="77777777" w:rsidR="00656121" w:rsidRPr="00656121" w:rsidRDefault="00656121" w:rsidP="00656121">
      <w:pPr>
        <w:numPr>
          <w:ilvl w:val="0"/>
          <w:numId w:val="3"/>
        </w:numPr>
      </w:pPr>
      <w:r w:rsidRPr="00656121">
        <w:rPr>
          <w:b/>
          <w:bCs/>
        </w:rPr>
        <w:t>Регламентация</w:t>
      </w:r>
      <w:proofErr w:type="gramStart"/>
      <w:r w:rsidRPr="00656121">
        <w:rPr>
          <w:b/>
          <w:bCs/>
        </w:rPr>
        <w:t>:</w:t>
      </w:r>
      <w:r w:rsidRPr="00656121">
        <w:t> Согласно</w:t>
      </w:r>
      <w:proofErr w:type="gramEnd"/>
      <w:r w:rsidRPr="00656121">
        <w:t xml:space="preserve"> разделу 1.0 источника, патогенные агенты разделены на 4 группы.</w:t>
      </w:r>
    </w:p>
    <w:p w14:paraId="3C1427B6" w14:textId="77777777" w:rsidR="00656121" w:rsidRPr="00656121" w:rsidRDefault="00656121" w:rsidP="00656121">
      <w:pPr>
        <w:numPr>
          <w:ilvl w:val="0"/>
          <w:numId w:val="3"/>
        </w:numPr>
      </w:pPr>
      <w:r w:rsidRPr="00656121">
        <w:rPr>
          <w:b/>
          <w:bCs/>
        </w:rPr>
        <w:t>Важное отличие:</w:t>
      </w:r>
      <w:r w:rsidRPr="00656121">
        <w:t> В Российской Федерации принята нумерация, обратная классификации ВОЗ:</w:t>
      </w:r>
    </w:p>
    <w:p w14:paraId="6C444AF4" w14:textId="77777777" w:rsidR="00656121" w:rsidRPr="00656121" w:rsidRDefault="00656121" w:rsidP="00656121">
      <w:pPr>
        <w:numPr>
          <w:ilvl w:val="1"/>
          <w:numId w:val="3"/>
        </w:numPr>
      </w:pPr>
      <w:r w:rsidRPr="00656121">
        <w:rPr>
          <w:b/>
          <w:bCs/>
        </w:rPr>
        <w:t>I группа:</w:t>
      </w:r>
      <w:r w:rsidRPr="00656121">
        <w:t> Возбудители особо опасных инфекций (чума, оспа).</w:t>
      </w:r>
    </w:p>
    <w:p w14:paraId="12FC6AAE" w14:textId="77777777" w:rsidR="00656121" w:rsidRPr="00656121" w:rsidRDefault="00656121" w:rsidP="00656121">
      <w:pPr>
        <w:numPr>
          <w:ilvl w:val="1"/>
          <w:numId w:val="3"/>
        </w:numPr>
      </w:pPr>
      <w:r w:rsidRPr="00656121">
        <w:rPr>
          <w:b/>
          <w:bCs/>
        </w:rPr>
        <w:t>II группа:</w:t>
      </w:r>
      <w:r w:rsidRPr="00656121">
        <w:t> </w:t>
      </w:r>
      <w:proofErr w:type="spellStart"/>
      <w:r w:rsidRPr="00656121">
        <w:t>Высококонтагиозные</w:t>
      </w:r>
      <w:proofErr w:type="spellEnd"/>
      <w:r w:rsidRPr="00656121">
        <w:t xml:space="preserve"> эпидемические заболевания (сибирская язва).</w:t>
      </w:r>
    </w:p>
    <w:p w14:paraId="78954862" w14:textId="77777777" w:rsidR="00656121" w:rsidRPr="00656121" w:rsidRDefault="00656121" w:rsidP="00656121">
      <w:pPr>
        <w:numPr>
          <w:ilvl w:val="1"/>
          <w:numId w:val="3"/>
        </w:numPr>
      </w:pPr>
      <w:r w:rsidRPr="00656121">
        <w:rPr>
          <w:b/>
          <w:bCs/>
        </w:rPr>
        <w:t>III группа:</w:t>
      </w:r>
      <w:r w:rsidRPr="00656121">
        <w:t> Самостоятельные нозологические формы (бактериальные и паразитарные патогены).</w:t>
      </w:r>
    </w:p>
    <w:p w14:paraId="1206DA21" w14:textId="77777777" w:rsidR="00656121" w:rsidRPr="00656121" w:rsidRDefault="00656121" w:rsidP="00656121">
      <w:pPr>
        <w:numPr>
          <w:ilvl w:val="1"/>
          <w:numId w:val="3"/>
        </w:numPr>
      </w:pPr>
      <w:r w:rsidRPr="00656121">
        <w:rPr>
          <w:b/>
          <w:bCs/>
        </w:rPr>
        <w:lastRenderedPageBreak/>
        <w:t>IV группа:</w:t>
      </w:r>
      <w:r w:rsidRPr="00656121">
        <w:t> Условно-патогенные микробы и оппортунистические инвазии.</w:t>
      </w:r>
    </w:p>
    <w:p w14:paraId="2BEAE7A6" w14:textId="77777777" w:rsidR="00656121" w:rsidRPr="00656121" w:rsidRDefault="00656121" w:rsidP="00656121">
      <w:pPr>
        <w:numPr>
          <w:ilvl w:val="0"/>
          <w:numId w:val="3"/>
        </w:numPr>
      </w:pPr>
      <w:r w:rsidRPr="00656121">
        <w:rPr>
          <w:b/>
          <w:bCs/>
        </w:rPr>
        <w:t>Требование:</w:t>
      </w:r>
      <w:r w:rsidRPr="00656121">
        <w:t> Работа с возбудителями требует строгого соблюдения противоэпидемического режима и соответствующей категории лаборатории (базовые, режимные, особого режима).</w:t>
      </w:r>
    </w:p>
    <w:p w14:paraId="6DC5A5F7" w14:textId="77777777" w:rsidR="00656121" w:rsidRPr="00656121" w:rsidRDefault="00656121" w:rsidP="00656121">
      <w:r w:rsidRPr="00656121">
        <w:t>Слайд 4. Микробиология инвазий: механизмы и пути проникновения</w:t>
      </w:r>
    </w:p>
    <w:p w14:paraId="527CECB1" w14:textId="77777777" w:rsidR="00656121" w:rsidRPr="00656121" w:rsidRDefault="00656121" w:rsidP="00656121">
      <w:pPr>
        <w:numPr>
          <w:ilvl w:val="0"/>
          <w:numId w:val="4"/>
        </w:numPr>
      </w:pPr>
      <w:r w:rsidRPr="00656121">
        <w:rPr>
          <w:b/>
          <w:bCs/>
        </w:rPr>
        <w:t xml:space="preserve">Факторы </w:t>
      </w:r>
      <w:proofErr w:type="spellStart"/>
      <w:r w:rsidRPr="00656121">
        <w:rPr>
          <w:b/>
          <w:bCs/>
        </w:rPr>
        <w:t>инвазивности</w:t>
      </w:r>
      <w:proofErr w:type="spellEnd"/>
      <w:r w:rsidRPr="00656121">
        <w:rPr>
          <w:b/>
          <w:bCs/>
        </w:rPr>
        <w:t>:</w:t>
      </w:r>
      <w:r w:rsidRPr="00656121">
        <w:t> Понимание патогенеза базируется на определении факторов вирулентности микроорганизмов (раздел 8.2).</w:t>
      </w:r>
    </w:p>
    <w:p w14:paraId="1D9114CD" w14:textId="77777777" w:rsidR="00656121" w:rsidRPr="00656121" w:rsidRDefault="00656121" w:rsidP="00656121">
      <w:pPr>
        <w:numPr>
          <w:ilvl w:val="0"/>
          <w:numId w:val="4"/>
        </w:numPr>
      </w:pPr>
      <w:r w:rsidRPr="00656121">
        <w:rPr>
          <w:b/>
          <w:bCs/>
        </w:rPr>
        <w:t>Инструментарий и асептика</w:t>
      </w:r>
      <w:proofErr w:type="gramStart"/>
      <w:r w:rsidRPr="00656121">
        <w:rPr>
          <w:b/>
          <w:bCs/>
        </w:rPr>
        <w:t>:</w:t>
      </w:r>
      <w:r w:rsidRPr="00656121">
        <w:t> Для</w:t>
      </w:r>
      <w:proofErr w:type="gramEnd"/>
      <w:r w:rsidRPr="00656121">
        <w:t xml:space="preserve"> исключения контаминации проб при заборе материала используются строго стерильные инструменты (раздел 1.2):</w:t>
      </w:r>
    </w:p>
    <w:p w14:paraId="61D7AF6C" w14:textId="77777777" w:rsidR="00656121" w:rsidRPr="00656121" w:rsidRDefault="00656121" w:rsidP="00656121">
      <w:pPr>
        <w:numPr>
          <w:ilvl w:val="1"/>
          <w:numId w:val="4"/>
        </w:numPr>
      </w:pPr>
      <w:r w:rsidRPr="00656121">
        <w:rPr>
          <w:b/>
          <w:bCs/>
        </w:rPr>
        <w:t>Ватные тампоны:</w:t>
      </w:r>
      <w:r w:rsidRPr="00656121">
        <w:t> забор со слизистых (зев, нос, глаз).</w:t>
      </w:r>
    </w:p>
    <w:p w14:paraId="2A71AFDB" w14:textId="77777777" w:rsidR="00656121" w:rsidRPr="00656121" w:rsidRDefault="00656121" w:rsidP="00656121">
      <w:pPr>
        <w:numPr>
          <w:ilvl w:val="1"/>
          <w:numId w:val="4"/>
        </w:numPr>
      </w:pPr>
      <w:r w:rsidRPr="00656121">
        <w:rPr>
          <w:b/>
          <w:bCs/>
        </w:rPr>
        <w:t>Проволочные петли:</w:t>
      </w:r>
      <w:r w:rsidRPr="00656121">
        <w:t> получение материала из анального отверстия.</w:t>
      </w:r>
    </w:p>
    <w:p w14:paraId="6674346E" w14:textId="77777777" w:rsidR="00656121" w:rsidRPr="00656121" w:rsidRDefault="00656121" w:rsidP="00656121">
      <w:pPr>
        <w:numPr>
          <w:ilvl w:val="1"/>
          <w:numId w:val="4"/>
        </w:numPr>
      </w:pPr>
      <w:r w:rsidRPr="00656121">
        <w:rPr>
          <w:b/>
          <w:bCs/>
        </w:rPr>
        <w:t>Шприцы:</w:t>
      </w:r>
      <w:r w:rsidRPr="00656121">
        <w:t> забор крови и пунктов (гной, ликвор).</w:t>
      </w:r>
    </w:p>
    <w:p w14:paraId="130C51EE" w14:textId="77777777" w:rsidR="00656121" w:rsidRPr="00656121" w:rsidRDefault="00656121" w:rsidP="00656121">
      <w:pPr>
        <w:numPr>
          <w:ilvl w:val="0"/>
          <w:numId w:val="4"/>
        </w:numPr>
      </w:pPr>
      <w:r w:rsidRPr="00656121">
        <w:t>Соблюдение асептики предотвращает попадание посторонней микрофлоры, искажающей картину инвазии.</w:t>
      </w:r>
    </w:p>
    <w:p w14:paraId="5AAFD580" w14:textId="77777777" w:rsidR="00656121" w:rsidRPr="00656121" w:rsidRDefault="00656121" w:rsidP="00656121">
      <w:r w:rsidRPr="00656121">
        <w:t>Слайд 5. Система «паразит-хозяин» и принципы диагностики</w:t>
      </w:r>
    </w:p>
    <w:p w14:paraId="269E78A0" w14:textId="77777777" w:rsidR="00656121" w:rsidRPr="00656121" w:rsidRDefault="00656121" w:rsidP="00656121">
      <w:pPr>
        <w:numPr>
          <w:ilvl w:val="0"/>
          <w:numId w:val="5"/>
        </w:numPr>
      </w:pPr>
      <w:r w:rsidRPr="00656121">
        <w:rPr>
          <w:b/>
          <w:bCs/>
        </w:rPr>
        <w:t>Диагностическая парадигма:</w:t>
      </w:r>
    </w:p>
    <w:p w14:paraId="288665E6" w14:textId="77777777" w:rsidR="00656121" w:rsidRPr="00656121" w:rsidRDefault="00656121" w:rsidP="00656121">
      <w:pPr>
        <w:numPr>
          <w:ilvl w:val="1"/>
          <w:numId w:val="5"/>
        </w:numPr>
      </w:pPr>
      <w:r w:rsidRPr="00656121">
        <w:rPr>
          <w:b/>
          <w:bCs/>
        </w:rPr>
        <w:t>Прямое обнаружение:</w:t>
      </w:r>
      <w:r w:rsidRPr="00656121">
        <w:t> Микроскопический, биологический и молекулярно-генетический методы.</w:t>
      </w:r>
    </w:p>
    <w:p w14:paraId="46FFDEE1" w14:textId="77777777" w:rsidR="00656121" w:rsidRPr="00656121" w:rsidRDefault="00656121" w:rsidP="00656121">
      <w:pPr>
        <w:numPr>
          <w:ilvl w:val="1"/>
          <w:numId w:val="5"/>
        </w:numPr>
      </w:pPr>
      <w:r w:rsidRPr="00656121">
        <w:rPr>
          <w:b/>
          <w:bCs/>
        </w:rPr>
        <w:t>Опосредованное подтверждение:</w:t>
      </w:r>
      <w:r w:rsidRPr="00656121">
        <w:t> Определение специфических изменений — иммунологический (серология) и аллергический (кожно-аллергические пробы) методы.</w:t>
      </w:r>
    </w:p>
    <w:p w14:paraId="61162BA9" w14:textId="77777777" w:rsidR="00656121" w:rsidRPr="00656121" w:rsidRDefault="00656121" w:rsidP="00656121">
      <w:pPr>
        <w:numPr>
          <w:ilvl w:val="0"/>
          <w:numId w:val="5"/>
        </w:numPr>
      </w:pPr>
      <w:r w:rsidRPr="00656121">
        <w:rPr>
          <w:b/>
          <w:bCs/>
        </w:rPr>
        <w:t>Персистенция:</w:t>
      </w:r>
      <w:r w:rsidRPr="00656121">
        <w:t> Изучение персистентных свойств (</w:t>
      </w:r>
      <w:proofErr w:type="spellStart"/>
      <w:r w:rsidRPr="00656121">
        <w:t>антилизоцимная</w:t>
      </w:r>
      <w:proofErr w:type="spellEnd"/>
      <w:r w:rsidRPr="00656121">
        <w:t xml:space="preserve">, </w:t>
      </w:r>
      <w:proofErr w:type="spellStart"/>
      <w:r w:rsidRPr="00656121">
        <w:t>антикомплементарная</w:t>
      </w:r>
      <w:proofErr w:type="spellEnd"/>
      <w:r w:rsidRPr="00656121">
        <w:t xml:space="preserve"> активность — раздел 8.3) объясняет механизмы выживания паразита в организме хозяина и переход заболевания в хроническую стадию.</w:t>
      </w:r>
    </w:p>
    <w:p w14:paraId="2A95EF00" w14:textId="77777777" w:rsidR="00656121" w:rsidRPr="00656121" w:rsidRDefault="00656121" w:rsidP="00656121">
      <w:r w:rsidRPr="00656121">
        <w:t>Слайд 6. Лабораторная диагностика: классическая микроскопия</w:t>
      </w:r>
    </w:p>
    <w:p w14:paraId="54FEAF76" w14:textId="77777777" w:rsidR="00656121" w:rsidRPr="00656121" w:rsidRDefault="00656121" w:rsidP="00656121">
      <w:pPr>
        <w:numPr>
          <w:ilvl w:val="0"/>
          <w:numId w:val="6"/>
        </w:numPr>
      </w:pPr>
      <w:r w:rsidRPr="00656121">
        <w:rPr>
          <w:b/>
          <w:bCs/>
        </w:rPr>
        <w:t>Идентификация:</w:t>
      </w:r>
      <w:r w:rsidRPr="00656121">
        <w:t xml:space="preserve"> Основана на изучении морфологических и </w:t>
      </w:r>
      <w:proofErr w:type="spellStart"/>
      <w:r w:rsidRPr="00656121">
        <w:t>тинкториальных</w:t>
      </w:r>
      <w:proofErr w:type="spellEnd"/>
      <w:r w:rsidRPr="00656121">
        <w:t xml:space="preserve"> признаков.</w:t>
      </w:r>
    </w:p>
    <w:p w14:paraId="499E2140" w14:textId="77777777" w:rsidR="00656121" w:rsidRPr="00656121" w:rsidRDefault="00656121" w:rsidP="00656121">
      <w:pPr>
        <w:numPr>
          <w:ilvl w:val="0"/>
          <w:numId w:val="6"/>
        </w:numPr>
      </w:pPr>
      <w:r w:rsidRPr="00656121">
        <w:rPr>
          <w:b/>
          <w:bCs/>
        </w:rPr>
        <w:t>Алгоритм приготовления препарата (раздел 2.1):</w:t>
      </w:r>
    </w:p>
    <w:p w14:paraId="526E76DB" w14:textId="77777777" w:rsidR="00656121" w:rsidRPr="00656121" w:rsidRDefault="00656121" w:rsidP="00656121">
      <w:pPr>
        <w:numPr>
          <w:ilvl w:val="1"/>
          <w:numId w:val="6"/>
        </w:numPr>
      </w:pPr>
      <w:r w:rsidRPr="00656121">
        <w:rPr>
          <w:b/>
          <w:bCs/>
        </w:rPr>
        <w:t>Приготовление мазка:</w:t>
      </w:r>
      <w:r w:rsidRPr="00656121">
        <w:t> Равномерное распределение материала на стекле (1,5–2 см).</w:t>
      </w:r>
    </w:p>
    <w:p w14:paraId="72D28AE5" w14:textId="77777777" w:rsidR="00656121" w:rsidRPr="00656121" w:rsidRDefault="00656121" w:rsidP="00656121">
      <w:pPr>
        <w:numPr>
          <w:ilvl w:val="1"/>
          <w:numId w:val="6"/>
        </w:numPr>
      </w:pPr>
      <w:r w:rsidRPr="00656121">
        <w:rPr>
          <w:b/>
          <w:bCs/>
        </w:rPr>
        <w:t>Высушивание</w:t>
      </w:r>
      <w:proofErr w:type="gramStart"/>
      <w:r w:rsidRPr="00656121">
        <w:rPr>
          <w:b/>
          <w:bCs/>
        </w:rPr>
        <w:t>:</w:t>
      </w:r>
      <w:r w:rsidRPr="00656121">
        <w:t> На</w:t>
      </w:r>
      <w:proofErr w:type="gramEnd"/>
      <w:r w:rsidRPr="00656121">
        <w:t xml:space="preserve"> воздухе или в струе теплого воздуха.</w:t>
      </w:r>
    </w:p>
    <w:p w14:paraId="12275D25" w14:textId="77777777" w:rsidR="00656121" w:rsidRPr="00656121" w:rsidRDefault="00656121" w:rsidP="00656121">
      <w:pPr>
        <w:numPr>
          <w:ilvl w:val="1"/>
          <w:numId w:val="6"/>
        </w:numPr>
      </w:pPr>
      <w:r w:rsidRPr="00656121">
        <w:rPr>
          <w:b/>
          <w:bCs/>
        </w:rPr>
        <w:lastRenderedPageBreak/>
        <w:t>Фиксация:</w:t>
      </w:r>
      <w:r w:rsidRPr="00656121">
        <w:t> 3–4-кратное проведение через пламя (микробы погибают и закрепляются).</w:t>
      </w:r>
    </w:p>
    <w:p w14:paraId="0B2D01ED" w14:textId="77777777" w:rsidR="00656121" w:rsidRPr="00656121" w:rsidRDefault="00656121" w:rsidP="00656121">
      <w:pPr>
        <w:numPr>
          <w:ilvl w:val="1"/>
          <w:numId w:val="6"/>
        </w:numPr>
      </w:pPr>
      <w:r w:rsidRPr="00656121">
        <w:rPr>
          <w:b/>
          <w:bCs/>
        </w:rPr>
        <w:t>Окраска</w:t>
      </w:r>
      <w:proofErr w:type="gramStart"/>
      <w:r w:rsidRPr="00656121">
        <w:rPr>
          <w:b/>
          <w:bCs/>
        </w:rPr>
        <w:t>:</w:t>
      </w:r>
      <w:r w:rsidRPr="00656121">
        <w:t> Применяются</w:t>
      </w:r>
      <w:proofErr w:type="gramEnd"/>
      <w:r w:rsidRPr="00656121">
        <w:t xml:space="preserve"> сложные методы для визуализации структур (например, аналогия с методом </w:t>
      </w:r>
      <w:proofErr w:type="spellStart"/>
      <w:r w:rsidRPr="00656121">
        <w:t>Циля</w:t>
      </w:r>
      <w:proofErr w:type="spellEnd"/>
      <w:r w:rsidRPr="00656121">
        <w:t xml:space="preserve">-Нильсена для кислотоустойчивых форм, таких как </w:t>
      </w:r>
      <w:proofErr w:type="spellStart"/>
      <w:r w:rsidRPr="00656121">
        <w:t>криптоспоридии</w:t>
      </w:r>
      <w:proofErr w:type="spellEnd"/>
      <w:r w:rsidRPr="00656121">
        <w:t>).</w:t>
      </w:r>
    </w:p>
    <w:p w14:paraId="58AF9E63" w14:textId="77777777" w:rsidR="00656121" w:rsidRPr="00656121" w:rsidRDefault="00656121" w:rsidP="00656121">
      <w:pPr>
        <w:numPr>
          <w:ilvl w:val="0"/>
          <w:numId w:val="6"/>
        </w:numPr>
      </w:pPr>
      <w:proofErr w:type="spellStart"/>
      <w:r w:rsidRPr="00656121">
        <w:rPr>
          <w:b/>
          <w:bCs/>
        </w:rPr>
        <w:t>Микроскопирование</w:t>
      </w:r>
      <w:proofErr w:type="spellEnd"/>
      <w:r w:rsidRPr="00656121">
        <w:rPr>
          <w:b/>
          <w:bCs/>
        </w:rPr>
        <w:t xml:space="preserve"> (раздел 2.2):</w:t>
      </w:r>
      <w:r w:rsidRPr="00656121">
        <w:t> Использование иммерсионного объектива (x90). Требуется поднять конденсор и полностью открыть диафрагму для достижения максимальной разрешающей способности.</w:t>
      </w:r>
    </w:p>
    <w:p w14:paraId="645C2C21" w14:textId="77777777" w:rsidR="00656121" w:rsidRPr="00656121" w:rsidRDefault="00656121" w:rsidP="00656121">
      <w:r w:rsidRPr="00656121">
        <w:t>Слайд 7. Регламент забора и транспортировки биоматериала</w:t>
      </w:r>
    </w:p>
    <w:p w14:paraId="3F15EAF8" w14:textId="77777777" w:rsidR="00656121" w:rsidRPr="00656121" w:rsidRDefault="00656121" w:rsidP="00656121">
      <w:r w:rsidRPr="00656121">
        <w:rPr>
          <w:b/>
          <w:bCs/>
        </w:rPr>
        <w:t>Контрольный список (</w:t>
      </w:r>
      <w:proofErr w:type="spellStart"/>
      <w:r w:rsidRPr="00656121">
        <w:rPr>
          <w:b/>
          <w:bCs/>
        </w:rPr>
        <w:t>Checklist</w:t>
      </w:r>
      <w:proofErr w:type="spellEnd"/>
      <w:r w:rsidRPr="00656121">
        <w:rPr>
          <w:b/>
          <w:bCs/>
        </w:rPr>
        <w:t>) для медицинского персонала:</w:t>
      </w:r>
    </w:p>
    <w:p w14:paraId="46E40509" w14:textId="77777777" w:rsidR="00656121" w:rsidRPr="00656121" w:rsidRDefault="00656121" w:rsidP="00656121">
      <w:pPr>
        <w:numPr>
          <w:ilvl w:val="0"/>
          <w:numId w:val="7"/>
        </w:numPr>
      </w:pPr>
      <w:r w:rsidRPr="00656121">
        <w:rPr>
          <w:b/>
          <w:bCs/>
        </w:rPr>
        <w:t>Сроки:</w:t>
      </w:r>
      <w:r w:rsidRPr="00656121">
        <w:t> Доставка в лабораторию в течение 2–3 часов в специальных биксах.</w:t>
      </w:r>
    </w:p>
    <w:p w14:paraId="34A1F50D" w14:textId="77777777" w:rsidR="00656121" w:rsidRPr="00656121" w:rsidRDefault="00656121" w:rsidP="00656121">
      <w:pPr>
        <w:numPr>
          <w:ilvl w:val="0"/>
          <w:numId w:val="7"/>
        </w:numPr>
      </w:pPr>
      <w:r w:rsidRPr="00656121">
        <w:rPr>
          <w:b/>
          <w:bCs/>
        </w:rPr>
        <w:t>Соотношение</w:t>
      </w:r>
      <w:proofErr w:type="gramStart"/>
      <w:r w:rsidRPr="00656121">
        <w:rPr>
          <w:b/>
          <w:bCs/>
        </w:rPr>
        <w:t>:</w:t>
      </w:r>
      <w:r w:rsidRPr="00656121">
        <w:t> При</w:t>
      </w:r>
      <w:proofErr w:type="gramEnd"/>
      <w:r w:rsidRPr="00656121">
        <w:t xml:space="preserve"> посеве крови соблюдать пропорцию 1:10 (кровь/среда) для нейтрализации естественных бактерицидных свойств крови.</w:t>
      </w:r>
    </w:p>
    <w:p w14:paraId="4442B1D7" w14:textId="77777777" w:rsidR="00656121" w:rsidRPr="00656121" w:rsidRDefault="00656121" w:rsidP="00656121">
      <w:pPr>
        <w:numPr>
          <w:ilvl w:val="0"/>
          <w:numId w:val="7"/>
        </w:numPr>
      </w:pPr>
      <w:r w:rsidRPr="00656121">
        <w:rPr>
          <w:b/>
          <w:bCs/>
        </w:rPr>
        <w:t>Специфика сред:</w:t>
      </w:r>
      <w:r w:rsidRPr="00656121">
        <w:t> Испражнения на патогены собираются ректальными петлями, смоченными консервантом, для сохранения морфологии яиц и вегетативных форм.</w:t>
      </w:r>
    </w:p>
    <w:p w14:paraId="4DAD4ED6" w14:textId="77777777" w:rsidR="00656121" w:rsidRPr="00656121" w:rsidRDefault="00656121" w:rsidP="00656121">
      <w:pPr>
        <w:numPr>
          <w:ilvl w:val="0"/>
          <w:numId w:val="7"/>
        </w:numPr>
      </w:pPr>
      <w:r w:rsidRPr="00656121">
        <w:rPr>
          <w:b/>
          <w:bCs/>
        </w:rPr>
        <w:t>Направление (9 обязательных пунктов):</w:t>
      </w:r>
      <w:r w:rsidRPr="00656121">
        <w:t> 1) Название материала; 2) Учреждение; 3) ФИО пациента; 4) Возраст; 5) Адрес; 6) Дата заболевания; 7) Дата забора; 8) Предполагаемый диагноз; 9) Подпись врача.</w:t>
      </w:r>
    </w:p>
    <w:p w14:paraId="0CB63765" w14:textId="77777777" w:rsidR="00656121" w:rsidRPr="00656121" w:rsidRDefault="00656121" w:rsidP="00656121">
      <w:r w:rsidRPr="00656121">
        <w:t>Слайд 8. Иммунодиагностика: серологический мониторинг</w:t>
      </w:r>
    </w:p>
    <w:p w14:paraId="4577D464" w14:textId="77777777" w:rsidR="00656121" w:rsidRPr="00656121" w:rsidRDefault="00656121" w:rsidP="00656121">
      <w:pPr>
        <w:numPr>
          <w:ilvl w:val="0"/>
          <w:numId w:val="8"/>
        </w:numPr>
      </w:pPr>
      <w:r w:rsidRPr="00656121">
        <w:rPr>
          <w:b/>
          <w:bCs/>
        </w:rPr>
        <w:t>Принцип:</w:t>
      </w:r>
      <w:r w:rsidRPr="00656121">
        <w:t> Обнаружение специфических антител подтверждает диагноз при невозможности прямой визуализации возбудителя (раздел 2.0).</w:t>
      </w:r>
    </w:p>
    <w:p w14:paraId="211BCABC" w14:textId="77777777" w:rsidR="00656121" w:rsidRPr="00656121" w:rsidRDefault="00656121" w:rsidP="00656121">
      <w:pPr>
        <w:numPr>
          <w:ilvl w:val="0"/>
          <w:numId w:val="8"/>
        </w:numPr>
      </w:pPr>
      <w:r w:rsidRPr="00656121">
        <w:rPr>
          <w:b/>
          <w:bCs/>
        </w:rPr>
        <w:t>Методы (раздел 9.0):</w:t>
      </w:r>
    </w:p>
    <w:p w14:paraId="423D4FEF" w14:textId="77777777" w:rsidR="00656121" w:rsidRPr="00656121" w:rsidRDefault="00656121" w:rsidP="00656121">
      <w:pPr>
        <w:numPr>
          <w:ilvl w:val="1"/>
          <w:numId w:val="8"/>
        </w:numPr>
      </w:pPr>
      <w:r w:rsidRPr="00656121">
        <w:rPr>
          <w:b/>
          <w:bCs/>
        </w:rPr>
        <w:t>РПГА (реакция пассивной гемагглютинации):</w:t>
      </w:r>
      <w:r w:rsidRPr="00656121">
        <w:t> Высокочувствительное выявление антител с помощью эритроцитарных диагностикумов.</w:t>
      </w:r>
    </w:p>
    <w:p w14:paraId="45306229" w14:textId="77777777" w:rsidR="00656121" w:rsidRPr="00656121" w:rsidRDefault="00656121" w:rsidP="00656121">
      <w:pPr>
        <w:numPr>
          <w:ilvl w:val="1"/>
          <w:numId w:val="8"/>
        </w:numPr>
      </w:pPr>
      <w:r w:rsidRPr="00656121">
        <w:rPr>
          <w:b/>
          <w:bCs/>
        </w:rPr>
        <w:t>ИФА (иммуноферментный анализ):</w:t>
      </w:r>
      <w:r w:rsidRPr="00656121">
        <w:t> Использование антител, меченных ферментом, для количественного и качественного определения паразитарных антигенов.</w:t>
      </w:r>
    </w:p>
    <w:p w14:paraId="6C328CAB" w14:textId="77777777" w:rsidR="00656121" w:rsidRPr="00656121" w:rsidRDefault="00656121" w:rsidP="00656121">
      <w:pPr>
        <w:numPr>
          <w:ilvl w:val="0"/>
          <w:numId w:val="8"/>
        </w:numPr>
      </w:pPr>
      <w:r w:rsidRPr="00656121">
        <w:t>Серологический метод критически важен при тканевых гельминтозах (эхинококкоз, трихинеллез).</w:t>
      </w:r>
    </w:p>
    <w:p w14:paraId="6A4B6ACA" w14:textId="77777777" w:rsidR="00656121" w:rsidRPr="00656121" w:rsidRDefault="00656121" w:rsidP="00656121">
      <w:r w:rsidRPr="00656121">
        <w:t>Слайд 9. Молекулярно-генетическая верификация (ПЦР)</w:t>
      </w:r>
    </w:p>
    <w:p w14:paraId="6A4CAC29" w14:textId="77777777" w:rsidR="00656121" w:rsidRPr="00656121" w:rsidRDefault="00656121" w:rsidP="00656121">
      <w:pPr>
        <w:numPr>
          <w:ilvl w:val="0"/>
          <w:numId w:val="9"/>
        </w:numPr>
      </w:pPr>
      <w:r w:rsidRPr="00656121">
        <w:rPr>
          <w:b/>
          <w:bCs/>
        </w:rPr>
        <w:t>Технология:</w:t>
      </w:r>
      <w:r w:rsidRPr="00656121">
        <w:t> Идентификация возбудителя по уникальной генетической структуре (раздел 4.1).</w:t>
      </w:r>
    </w:p>
    <w:p w14:paraId="1A758680" w14:textId="77777777" w:rsidR="00656121" w:rsidRPr="00656121" w:rsidRDefault="00656121" w:rsidP="00656121">
      <w:pPr>
        <w:numPr>
          <w:ilvl w:val="0"/>
          <w:numId w:val="9"/>
        </w:numPr>
      </w:pPr>
      <w:r w:rsidRPr="00656121">
        <w:rPr>
          <w:b/>
          <w:bCs/>
        </w:rPr>
        <w:t>Преимущества ПЦР:</w:t>
      </w:r>
    </w:p>
    <w:p w14:paraId="29B59BAB" w14:textId="77777777" w:rsidR="00656121" w:rsidRPr="00656121" w:rsidRDefault="00656121" w:rsidP="00656121">
      <w:pPr>
        <w:numPr>
          <w:ilvl w:val="1"/>
          <w:numId w:val="9"/>
        </w:numPr>
      </w:pPr>
      <w:r w:rsidRPr="00656121">
        <w:lastRenderedPageBreak/>
        <w:t>Прямая индикация ДНК/РНК паразита в патологическом материале.</w:t>
      </w:r>
    </w:p>
    <w:p w14:paraId="3721A751" w14:textId="77777777" w:rsidR="00656121" w:rsidRPr="00656121" w:rsidRDefault="00656121" w:rsidP="00656121">
      <w:pPr>
        <w:numPr>
          <w:ilvl w:val="1"/>
          <w:numId w:val="9"/>
        </w:numPr>
      </w:pPr>
      <w:r w:rsidRPr="00656121">
        <w:t>Высокая специфичность и возможность диагностики на ранних этапах инвазии, когда другие методы (микроскопия, серология) еще не эффективны.</w:t>
      </w:r>
    </w:p>
    <w:p w14:paraId="211CB11C" w14:textId="77777777" w:rsidR="00656121" w:rsidRPr="00656121" w:rsidRDefault="00656121" w:rsidP="00656121">
      <w:pPr>
        <w:numPr>
          <w:ilvl w:val="1"/>
          <w:numId w:val="9"/>
        </w:numPr>
      </w:pPr>
      <w:r w:rsidRPr="00656121">
        <w:t xml:space="preserve">Незаменимость при латентных и </w:t>
      </w:r>
      <w:proofErr w:type="spellStart"/>
      <w:r w:rsidRPr="00656121">
        <w:t>персистирующих</w:t>
      </w:r>
      <w:proofErr w:type="spellEnd"/>
      <w:r w:rsidRPr="00656121">
        <w:t xml:space="preserve"> формах инфекции.</w:t>
      </w:r>
    </w:p>
    <w:p w14:paraId="64C33B1D" w14:textId="77777777" w:rsidR="00656121" w:rsidRPr="00656121" w:rsidRDefault="00656121" w:rsidP="00656121">
      <w:r w:rsidRPr="00656121">
        <w:t>Слайд 10. Медицинская протозоология: микроскопический аспект</w:t>
      </w:r>
    </w:p>
    <w:p w14:paraId="30BFAD5D" w14:textId="77777777" w:rsidR="00656121" w:rsidRPr="00656121" w:rsidRDefault="00656121" w:rsidP="00656121">
      <w:pPr>
        <w:numPr>
          <w:ilvl w:val="0"/>
          <w:numId w:val="10"/>
        </w:numPr>
      </w:pPr>
      <w:r w:rsidRPr="00656121">
        <w:rPr>
          <w:b/>
          <w:bCs/>
        </w:rPr>
        <w:t>Прижизненное изучение</w:t>
      </w:r>
      <w:proofErr w:type="gramStart"/>
      <w:r w:rsidRPr="00656121">
        <w:rPr>
          <w:b/>
          <w:bCs/>
        </w:rPr>
        <w:t>:</w:t>
      </w:r>
      <w:r w:rsidRPr="00656121">
        <w:t> Для</w:t>
      </w:r>
      <w:proofErr w:type="gramEnd"/>
      <w:r w:rsidRPr="00656121">
        <w:t xml:space="preserve"> наблюдения за нативной подвижностью простейших (жгутиконосцев, амеб) используются методы «раздавленной» и «висячей» капли (раздел 2.4).</w:t>
      </w:r>
    </w:p>
    <w:p w14:paraId="446A9CDB" w14:textId="77777777" w:rsidR="00656121" w:rsidRPr="00656121" w:rsidRDefault="00656121" w:rsidP="00656121">
      <w:pPr>
        <w:numPr>
          <w:ilvl w:val="0"/>
          <w:numId w:val="10"/>
        </w:numPr>
      </w:pPr>
      <w:r w:rsidRPr="00656121">
        <w:rPr>
          <w:b/>
          <w:bCs/>
        </w:rPr>
        <w:t>Визуализация структур</w:t>
      </w:r>
      <w:proofErr w:type="gramStart"/>
      <w:r w:rsidRPr="00656121">
        <w:rPr>
          <w:b/>
          <w:bCs/>
        </w:rPr>
        <w:t>:</w:t>
      </w:r>
      <w:r w:rsidRPr="00656121">
        <w:t> Для</w:t>
      </w:r>
      <w:proofErr w:type="gramEnd"/>
      <w:r w:rsidRPr="00656121">
        <w:t xml:space="preserve"> детального изучения органелл и ядерных структур применяются сложные методы окраски (раздел 2.3).</w:t>
      </w:r>
    </w:p>
    <w:p w14:paraId="49104FC1" w14:textId="77777777" w:rsidR="00656121" w:rsidRPr="00656121" w:rsidRDefault="00656121" w:rsidP="00656121">
      <w:pPr>
        <w:numPr>
          <w:ilvl w:val="0"/>
          <w:numId w:val="10"/>
        </w:numPr>
      </w:pPr>
      <w:r w:rsidRPr="00656121">
        <w:rPr>
          <w:b/>
          <w:bCs/>
        </w:rPr>
        <w:t>Методологический принцип:</w:t>
      </w:r>
      <w:r w:rsidRPr="00656121">
        <w:t> Использование красителей с различным сродством к клеточным структурам позволяет дифференцировать ядро, цитоплазму и включения, что необходимо для видовой идентификации простейших.</w:t>
      </w:r>
    </w:p>
    <w:p w14:paraId="11D082EC" w14:textId="77777777" w:rsidR="00656121" w:rsidRPr="00656121" w:rsidRDefault="00656121" w:rsidP="00656121">
      <w:r w:rsidRPr="00656121">
        <w:t>Слайд 11. Медицинская гельминтология: диагностический поиск</w:t>
      </w:r>
    </w:p>
    <w:p w14:paraId="073B491E" w14:textId="77777777" w:rsidR="00656121" w:rsidRPr="00656121" w:rsidRDefault="00656121" w:rsidP="00656121">
      <w:pPr>
        <w:numPr>
          <w:ilvl w:val="0"/>
          <w:numId w:val="11"/>
        </w:numPr>
      </w:pPr>
      <w:r w:rsidRPr="00656121">
        <w:rPr>
          <w:b/>
          <w:bCs/>
        </w:rPr>
        <w:t xml:space="preserve">Работа с </w:t>
      </w:r>
      <w:proofErr w:type="spellStart"/>
      <w:r w:rsidRPr="00656121">
        <w:rPr>
          <w:b/>
          <w:bCs/>
        </w:rPr>
        <w:t>биосубстратами</w:t>
      </w:r>
      <w:proofErr w:type="spellEnd"/>
      <w:r w:rsidRPr="00656121">
        <w:rPr>
          <w:b/>
          <w:bCs/>
        </w:rPr>
        <w:t>:</w:t>
      </w:r>
    </w:p>
    <w:p w14:paraId="0870ABEA" w14:textId="77777777" w:rsidR="00656121" w:rsidRPr="00656121" w:rsidRDefault="00656121" w:rsidP="00656121">
      <w:pPr>
        <w:numPr>
          <w:ilvl w:val="1"/>
          <w:numId w:val="11"/>
        </w:numPr>
      </w:pPr>
      <w:r w:rsidRPr="00656121">
        <w:rPr>
          <w:b/>
          <w:bCs/>
        </w:rPr>
        <w:t>Испражнения:</w:t>
      </w:r>
      <w:r w:rsidRPr="00656121">
        <w:t> Применение консервирующих сред (раздел 1.2) критично для предотвращения лизиса личинок и яиц гельминтов.</w:t>
      </w:r>
    </w:p>
    <w:p w14:paraId="657FE355" w14:textId="77777777" w:rsidR="00656121" w:rsidRPr="00656121" w:rsidRDefault="00656121" w:rsidP="00656121">
      <w:pPr>
        <w:numPr>
          <w:ilvl w:val="1"/>
          <w:numId w:val="11"/>
        </w:numPr>
      </w:pPr>
      <w:r w:rsidRPr="00656121">
        <w:rPr>
          <w:b/>
          <w:bCs/>
        </w:rPr>
        <w:t>Моча и мокрота:</w:t>
      </w:r>
      <w:r w:rsidRPr="00656121">
        <w:t> Исследование мокроты проводится натощак; мочи — не позднее 1–2 часов после сбора.</w:t>
      </w:r>
    </w:p>
    <w:p w14:paraId="76411DF9" w14:textId="77777777" w:rsidR="00656121" w:rsidRPr="00656121" w:rsidRDefault="00656121" w:rsidP="00656121">
      <w:pPr>
        <w:numPr>
          <w:ilvl w:val="0"/>
          <w:numId w:val="11"/>
        </w:numPr>
      </w:pPr>
      <w:r w:rsidRPr="00656121">
        <w:rPr>
          <w:b/>
          <w:bCs/>
        </w:rPr>
        <w:t>Биологический метод (раздел 8.0):</w:t>
      </w:r>
      <w:r w:rsidRPr="00656121">
        <w:t> В случаях низкой интенсивности инвазии используется биологическое обогащение — заражение чувствительных лабораторных животных (</w:t>
      </w:r>
      <w:proofErr w:type="spellStart"/>
      <w:r w:rsidRPr="00656121">
        <w:t>ксенодиагностика</w:t>
      </w:r>
      <w:proofErr w:type="spellEnd"/>
      <w:r w:rsidRPr="00656121">
        <w:t>) для подтверждения диагноза по развитию патологического процесса в их организме.</w:t>
      </w:r>
    </w:p>
    <w:p w14:paraId="3B27E174" w14:textId="77777777" w:rsidR="00656121" w:rsidRPr="00656121" w:rsidRDefault="00656121" w:rsidP="00656121">
      <w:r w:rsidRPr="00656121">
        <w:t>Слайд 12. Режимные мероприятия и профилактика</w:t>
      </w:r>
    </w:p>
    <w:p w14:paraId="0400ECB2" w14:textId="77777777" w:rsidR="00656121" w:rsidRPr="00656121" w:rsidRDefault="00656121" w:rsidP="00656121">
      <w:pPr>
        <w:numPr>
          <w:ilvl w:val="0"/>
          <w:numId w:val="12"/>
        </w:numPr>
      </w:pPr>
      <w:r w:rsidRPr="00656121">
        <w:rPr>
          <w:b/>
          <w:bCs/>
        </w:rPr>
        <w:t>Стерилизация посуды (раздел 1.6):</w:t>
      </w:r>
      <w:r w:rsidRPr="00656121">
        <w:t> Стеклянные контейнеры для паразитологических проб стерилизуются в сухожаровом шкафу при 175–180°C в течение 45–60 мин.</w:t>
      </w:r>
    </w:p>
    <w:p w14:paraId="32851C11" w14:textId="77777777" w:rsidR="00656121" w:rsidRPr="00656121" w:rsidRDefault="00656121" w:rsidP="00656121">
      <w:pPr>
        <w:numPr>
          <w:ilvl w:val="0"/>
          <w:numId w:val="12"/>
        </w:numPr>
      </w:pPr>
      <w:r w:rsidRPr="00656121">
        <w:rPr>
          <w:b/>
          <w:bCs/>
        </w:rPr>
        <w:t>Дезинфекция (раздел 1.5):</w:t>
      </w:r>
    </w:p>
    <w:p w14:paraId="379282E1" w14:textId="77777777" w:rsidR="00656121" w:rsidRPr="00656121" w:rsidRDefault="00656121" w:rsidP="00656121">
      <w:pPr>
        <w:numPr>
          <w:ilvl w:val="1"/>
          <w:numId w:val="12"/>
        </w:numPr>
      </w:pPr>
      <w:r w:rsidRPr="00656121">
        <w:rPr>
          <w:b/>
          <w:bCs/>
        </w:rPr>
        <w:t>Руки:</w:t>
      </w:r>
      <w:r w:rsidRPr="00656121">
        <w:t> 70% этиловый спирт или 0,5% раствор хлоргексидина.</w:t>
      </w:r>
    </w:p>
    <w:p w14:paraId="0AB3CF41" w14:textId="77777777" w:rsidR="00656121" w:rsidRPr="00656121" w:rsidRDefault="00656121" w:rsidP="00656121">
      <w:pPr>
        <w:numPr>
          <w:ilvl w:val="1"/>
          <w:numId w:val="12"/>
        </w:numPr>
      </w:pPr>
      <w:r w:rsidRPr="00656121">
        <w:rPr>
          <w:b/>
          <w:bCs/>
        </w:rPr>
        <w:t>Поверхности:</w:t>
      </w:r>
      <w:r w:rsidRPr="00656121">
        <w:t> 1–3% растворы хлорамина или 3–5% растворы фенола (лизола).</w:t>
      </w:r>
    </w:p>
    <w:p w14:paraId="2F22981A" w14:textId="77777777" w:rsidR="00656121" w:rsidRPr="00656121" w:rsidRDefault="00656121" w:rsidP="00656121">
      <w:pPr>
        <w:numPr>
          <w:ilvl w:val="0"/>
          <w:numId w:val="12"/>
        </w:numPr>
      </w:pPr>
      <w:r w:rsidRPr="00656121">
        <w:rPr>
          <w:b/>
          <w:bCs/>
        </w:rPr>
        <w:t>Заключение</w:t>
      </w:r>
      <w:proofErr w:type="gramStart"/>
      <w:r w:rsidRPr="00656121">
        <w:rPr>
          <w:b/>
          <w:bCs/>
        </w:rPr>
        <w:t>:</w:t>
      </w:r>
      <w:r w:rsidRPr="00656121">
        <w:t> Только</w:t>
      </w:r>
      <w:proofErr w:type="gramEnd"/>
      <w:r w:rsidRPr="00656121">
        <w:t xml:space="preserve"> комплексное сочетание классических микробиологических алгоритмов, серологии и ПЦР-диагностики позволяет </w:t>
      </w:r>
      <w:r w:rsidRPr="00656121">
        <w:lastRenderedPageBreak/>
        <w:t>обеспечить высокую точность верификации паразитарных заболеваний в современной клинике.</w:t>
      </w:r>
    </w:p>
    <w:p w14:paraId="68D2FA26" w14:textId="77777777" w:rsidR="00936D42" w:rsidRDefault="00936D42"/>
    <w:sectPr w:rsidR="0093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062E"/>
    <w:multiLevelType w:val="multilevel"/>
    <w:tmpl w:val="800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C4911"/>
    <w:multiLevelType w:val="multilevel"/>
    <w:tmpl w:val="89F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2734E"/>
    <w:multiLevelType w:val="multilevel"/>
    <w:tmpl w:val="8DC0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76B71"/>
    <w:multiLevelType w:val="multilevel"/>
    <w:tmpl w:val="2300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079F6"/>
    <w:multiLevelType w:val="multilevel"/>
    <w:tmpl w:val="406A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A0834"/>
    <w:multiLevelType w:val="multilevel"/>
    <w:tmpl w:val="C5D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66F38"/>
    <w:multiLevelType w:val="multilevel"/>
    <w:tmpl w:val="13B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F54A1"/>
    <w:multiLevelType w:val="multilevel"/>
    <w:tmpl w:val="B74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06747"/>
    <w:multiLevelType w:val="multilevel"/>
    <w:tmpl w:val="BB5A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518BE"/>
    <w:multiLevelType w:val="multilevel"/>
    <w:tmpl w:val="C21C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36812"/>
    <w:multiLevelType w:val="multilevel"/>
    <w:tmpl w:val="79D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06AF5"/>
    <w:multiLevelType w:val="multilevel"/>
    <w:tmpl w:val="22F6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163206">
    <w:abstractNumId w:val="11"/>
  </w:num>
  <w:num w:numId="2" w16cid:durableId="1252399069">
    <w:abstractNumId w:val="1"/>
  </w:num>
  <w:num w:numId="3" w16cid:durableId="1048920798">
    <w:abstractNumId w:val="10"/>
  </w:num>
  <w:num w:numId="4" w16cid:durableId="1321347921">
    <w:abstractNumId w:val="3"/>
  </w:num>
  <w:num w:numId="5" w16cid:durableId="1029339451">
    <w:abstractNumId w:val="0"/>
  </w:num>
  <w:num w:numId="6" w16cid:durableId="81882550">
    <w:abstractNumId w:val="7"/>
  </w:num>
  <w:num w:numId="7" w16cid:durableId="1198277626">
    <w:abstractNumId w:val="9"/>
  </w:num>
  <w:num w:numId="8" w16cid:durableId="1577327282">
    <w:abstractNumId w:val="6"/>
  </w:num>
  <w:num w:numId="9" w16cid:durableId="1946376787">
    <w:abstractNumId w:val="8"/>
  </w:num>
  <w:num w:numId="10" w16cid:durableId="206533960">
    <w:abstractNumId w:val="2"/>
  </w:num>
  <w:num w:numId="11" w16cid:durableId="1469005601">
    <w:abstractNumId w:val="4"/>
  </w:num>
  <w:num w:numId="12" w16cid:durableId="1386370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21"/>
    <w:rsid w:val="002C2D15"/>
    <w:rsid w:val="006256DA"/>
    <w:rsid w:val="00656121"/>
    <w:rsid w:val="007F2199"/>
    <w:rsid w:val="00936D42"/>
    <w:rsid w:val="0096568E"/>
    <w:rsid w:val="00C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965D"/>
  <w15:chartTrackingRefBased/>
  <w15:docId w15:val="{F536F529-0A28-434D-AD63-1168B87C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1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1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1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1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1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1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1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1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1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1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6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2026-06-25T15:17:00Z</dcterms:created>
  <dcterms:modified xsi:type="dcterms:W3CDTF">2026-06-25T15:17:00Z</dcterms:modified>
</cp:coreProperties>
</file>